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8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solid" w:color="DCE6F1" w:fill="E7E6E6"/>
        <w:tblLook w:val="04A0" w:firstRow="1" w:lastRow="0" w:firstColumn="1" w:lastColumn="0" w:noHBand="0" w:noVBand="1"/>
      </w:tblPr>
      <w:tblGrid>
        <w:gridCol w:w="10858"/>
      </w:tblGrid>
      <w:tr w:rsidR="00C13E56" w:rsidTr="00E60499">
        <w:trPr>
          <w:trHeight w:val="1856"/>
          <w:jc w:val="center"/>
        </w:trPr>
        <w:tc>
          <w:tcPr>
            <w:tcW w:w="10858" w:type="dxa"/>
            <w:shd w:val="solid" w:color="DCE6F1" w:fill="E7E6E6"/>
            <w:vAlign w:val="center"/>
          </w:tcPr>
          <w:p w:rsidR="004444F4" w:rsidRPr="00E24B90" w:rsidRDefault="00E24B90" w:rsidP="008D526A">
            <w:pPr>
              <w:spacing w:before="120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114300</wp:posOffset>
                  </wp:positionV>
                  <wp:extent cx="1072515" cy="347980"/>
                  <wp:effectExtent l="0" t="0" r="0" b="0"/>
                  <wp:wrapNone/>
                  <wp:docPr id="30" name="Image 30" descr="logo foq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foq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26A">
              <w:rPr>
                <w:rFonts w:ascii="Berlin Sans FB Demi" w:hAnsi="Berlin Sans FB Demi"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100330</wp:posOffset>
                  </wp:positionV>
                  <wp:extent cx="617855" cy="806450"/>
                  <wp:effectExtent l="0" t="0" r="0" b="0"/>
                  <wp:wrapNone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26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73660</wp:posOffset>
                  </wp:positionV>
                  <wp:extent cx="986155" cy="446405"/>
                  <wp:effectExtent l="0" t="0" r="0" b="0"/>
                  <wp:wrapNone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4464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68580</wp:posOffset>
                      </wp:positionV>
                      <wp:extent cx="377825" cy="274955"/>
                      <wp:effectExtent l="2540" t="0" r="635" b="1270"/>
                      <wp:wrapNone/>
                      <wp:docPr id="4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78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ED127" id="Rectangle 26" o:spid="_x0000_s1026" style="position:absolute;margin-left:405.1pt;margin-top:5.4pt;width:29.7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" fillcolor="#ffc000" stroked="f">
                      <o:lock v:ext="edit" aspectratio="t"/>
                    </v:rect>
                  </w:pict>
                </mc:Fallback>
              </mc:AlternateContent>
            </w:r>
          </w:p>
          <w:p w:rsidR="004444F4" w:rsidRPr="00E24B90" w:rsidRDefault="00E24B90" w:rsidP="008D526A">
            <w:pPr>
              <w:jc w:val="center"/>
              <w:rPr>
                <w:rFonts w:ascii="Berlin Sans FB Demi" w:hAnsi="Berlin Sans FB Demi" w:cs="Arial"/>
                <w:b/>
                <w:bCs/>
                <w:color w:val="0070C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526A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1270</wp:posOffset>
                      </wp:positionV>
                      <wp:extent cx="377825" cy="274955"/>
                      <wp:effectExtent l="0" t="0" r="0" b="3175"/>
                      <wp:wrapNone/>
                      <wp:docPr id="3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78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EE34" id="Rectangle 27" o:spid="_x0000_s1026" style="position:absolute;margin-left:391.85pt;margin-top:.1pt;width:29.7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" fillcolor="#ffc000" stroked="f">
                      <o:lock v:ext="edit" aspectratio="t"/>
                    </v:rect>
                  </w:pict>
                </mc:Fallback>
              </mc:AlternateContent>
            </w:r>
            <w:r w:rsidR="00E5772F" w:rsidRPr="00E24B90">
              <w:rPr>
                <w:rFonts w:ascii="Berlin Sans FB Demi" w:hAnsi="Berlin Sans FB Demi" w:cs="Arial"/>
                <w:b/>
                <w:bCs/>
                <w:color w:val="0070C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PÔLE 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0070C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MLDS YONNE SUD</w:t>
            </w:r>
          </w:p>
          <w:p w:rsidR="004444F4" w:rsidRPr="00E24B90" w:rsidRDefault="00E24B90" w:rsidP="00E60499">
            <w:pPr>
              <w:spacing w:before="120"/>
              <w:rPr>
                <w:rFonts w:ascii="Berlin Sans FB Demi" w:hAnsi="Berlin Sans FB Demi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1270</wp:posOffset>
                      </wp:positionV>
                      <wp:extent cx="2898140" cy="76200"/>
                      <wp:effectExtent l="0" t="0" r="0" b="63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14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5D06" id="Rectangle 25" o:spid="_x0000_s1026" style="position:absolute;margin-left:151.2pt;margin-top:.1pt;width:228.2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" fillcolor="#ffc000" stroked="f"/>
                  </w:pict>
                </mc:Fallback>
              </mc:AlternateContent>
            </w:r>
            <w:r w:rsidRPr="00A2053E">
              <w:rPr>
                <w:rFonts w:ascii="Calibri" w:hAnsi="Calibri" w:cs="Arial"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170180</wp:posOffset>
                  </wp:positionV>
                  <wp:extent cx="1016000" cy="678815"/>
                  <wp:effectExtent l="19050" t="19050" r="0" b="6985"/>
                  <wp:wrapNone/>
                  <wp:docPr id="17" name="Image 17" descr="facadeetv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cadeetv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4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8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4F4" w:rsidRPr="00E24B90" w:rsidRDefault="00E24B90" w:rsidP="009E0E2C">
            <w:pPr>
              <w:jc w:val="center"/>
              <w:rPr>
                <w:rFonts w:ascii="Berlin Sans FB Demi" w:hAnsi="Berlin Sans FB Demi" w:cs="Arial"/>
                <w:b/>
                <w:bCs/>
                <w:color w:val="92D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4B90">
              <w:rPr>
                <w:noProof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64135</wp:posOffset>
                      </wp:positionV>
                      <wp:extent cx="374650" cy="27305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46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1998" id="Rectangle 28" o:spid="_x0000_s1026" style="position:absolute;margin-left:104.8pt;margin-top:5.05pt;width:29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" fillcolor="#ffc000" stroked="f">
                      <o:lock v:ext="edit" aspectratio="t"/>
                    </v:rect>
                  </w:pict>
                </mc:Fallback>
              </mc:AlternateConten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ission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utte </w:t>
            </w:r>
          </w:p>
          <w:p w:rsidR="004444F4" w:rsidRDefault="004444F4" w:rsidP="00E60499">
            <w:pPr>
              <w:jc w:val="center"/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contre le </w:t>
            </w:r>
            <w:r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écrochage</w:t>
            </w:r>
            <w:r w:rsidRPr="00E24B90">
              <w:rPr>
                <w:rFonts w:ascii="Berlin Sans FB Demi" w:hAnsi="Berlin Sans FB Demi" w:cs="Arial"/>
                <w:b/>
                <w:bCs/>
                <w:color w:val="92D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colaire</w:t>
            </w:r>
          </w:p>
          <w:p w:rsidR="00B32C36" w:rsidRDefault="00B32C36" w:rsidP="00B32C36">
            <w:pPr>
              <w:jc w:val="center"/>
              <w:rPr>
                <w:rFonts w:ascii="Berlin Sans FB Demi" w:hAnsi="Berlin Sans FB Demi" w:cs="Arial"/>
                <w:i/>
                <w:iCs/>
                <w:color w:val="0070C0"/>
              </w:rPr>
            </w:pPr>
            <w:r w:rsidRPr="00C13E56">
              <w:rPr>
                <w:rFonts w:ascii="Berlin Sans FB Demi" w:hAnsi="Berlin Sans FB Demi" w:cs="Arial"/>
                <w:i/>
                <w:iCs/>
                <w:color w:val="0070C0"/>
              </w:rPr>
              <w:t xml:space="preserve">Lycée des métiers VAUBAN </w:t>
            </w:r>
          </w:p>
          <w:p w:rsidR="00B32C36" w:rsidRPr="00E60499" w:rsidRDefault="00B32C36" w:rsidP="00B32C36">
            <w:pPr>
              <w:jc w:val="center"/>
              <w:rPr>
                <w:rFonts w:ascii="Berlin Sans FB Demi" w:hAnsi="Berlin Sans FB Demi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Berlin Sans FB Demi" w:hAnsi="Berlin Sans FB Demi" w:cs="Arial"/>
                <w:i/>
                <w:iCs/>
                <w:color w:val="0070C0"/>
              </w:rPr>
              <w:t xml:space="preserve">22 rue Faidherbe, 89000 </w:t>
            </w:r>
            <w:r w:rsidRPr="00C13E56">
              <w:rPr>
                <w:rFonts w:ascii="Berlin Sans FB Demi" w:hAnsi="Berlin Sans FB Demi" w:cs="Arial"/>
                <w:i/>
                <w:iCs/>
                <w:color w:val="0070C0"/>
              </w:rPr>
              <w:t>Auxerre</w:t>
            </w:r>
          </w:p>
        </w:tc>
      </w:tr>
    </w:tbl>
    <w:p w:rsidR="003D15D5" w:rsidRDefault="003D15D5" w:rsidP="008B0141">
      <w:pPr>
        <w:spacing w:before="40" w:after="40"/>
        <w:rPr>
          <w:rFonts w:ascii="Calibri" w:hAnsi="Calibri"/>
          <w:color w:val="0070C0"/>
          <w:sz w:val="20"/>
          <w:szCs w:val="20"/>
        </w:rPr>
      </w:pPr>
    </w:p>
    <w:p w:rsidR="00183439" w:rsidRDefault="00183439" w:rsidP="00183439">
      <w:pPr>
        <w:pStyle w:val="Titre"/>
        <w:spacing w:before="40" w:after="40"/>
        <w:rPr>
          <w:rFonts w:ascii="Euphemia" w:hAnsi="Euphemia" w:cs="Consolas"/>
          <w:color w:val="0070C0"/>
          <w:sz w:val="40"/>
          <w:szCs w:val="40"/>
        </w:rPr>
      </w:pPr>
      <w:r w:rsidRPr="00552EDA">
        <w:rPr>
          <w:rFonts w:ascii="Euphemia" w:hAnsi="Euphemia" w:cs="Consolas"/>
          <w:color w:val="0070C0"/>
          <w:sz w:val="40"/>
          <w:szCs w:val="40"/>
        </w:rPr>
        <w:t xml:space="preserve">Dispositif d’accueil </w:t>
      </w:r>
      <w:r w:rsidR="00716DA8">
        <w:rPr>
          <w:rFonts w:ascii="Euphemia" w:hAnsi="Euphemia" w:cs="Consolas"/>
          <w:color w:val="0070C0"/>
          <w:sz w:val="40"/>
          <w:szCs w:val="40"/>
        </w:rPr>
        <w:t>SCF</w:t>
      </w:r>
    </w:p>
    <w:p w:rsidR="00183439" w:rsidRPr="00552EDA" w:rsidRDefault="00716DA8" w:rsidP="00183439">
      <w:pPr>
        <w:pStyle w:val="Titre"/>
        <w:spacing w:before="40" w:after="40"/>
        <w:rPr>
          <w:rFonts w:ascii="Euphemia" w:hAnsi="Euphemia" w:cs="Consolas"/>
          <w:color w:val="0070C0"/>
          <w:sz w:val="40"/>
          <w:szCs w:val="40"/>
        </w:rPr>
      </w:pPr>
      <w:r>
        <w:rPr>
          <w:rFonts w:ascii="Euphemia" w:hAnsi="Euphemia" w:cs="Consolas"/>
          <w:color w:val="0070C0"/>
          <w:sz w:val="40"/>
          <w:szCs w:val="40"/>
        </w:rPr>
        <w:t>S</w:t>
      </w:r>
      <w:r w:rsidRPr="00716DA8">
        <w:rPr>
          <w:rFonts w:ascii="Euphemia" w:hAnsi="Euphemia" w:cs="Consolas"/>
          <w:color w:val="FFC000" w:themeColor="accent4"/>
          <w:sz w:val="40"/>
          <w:szCs w:val="40"/>
        </w:rPr>
        <w:t xml:space="preserve">ervice </w:t>
      </w:r>
      <w:r>
        <w:rPr>
          <w:rFonts w:ascii="Euphemia" w:hAnsi="Euphemia" w:cs="Consolas"/>
          <w:color w:val="0070C0"/>
          <w:sz w:val="40"/>
          <w:szCs w:val="40"/>
        </w:rPr>
        <w:t>C</w:t>
      </w:r>
      <w:r w:rsidRPr="00716DA8">
        <w:rPr>
          <w:rFonts w:ascii="Euphemia" w:hAnsi="Euphemia" w:cs="Consolas"/>
          <w:color w:val="FFC000" w:themeColor="accent4"/>
          <w:sz w:val="40"/>
          <w:szCs w:val="40"/>
        </w:rPr>
        <w:t>ivique</w:t>
      </w:r>
      <w:r>
        <w:rPr>
          <w:rFonts w:ascii="Euphemia" w:hAnsi="Euphemia" w:cs="Consolas"/>
          <w:color w:val="0070C0"/>
          <w:sz w:val="40"/>
          <w:szCs w:val="40"/>
        </w:rPr>
        <w:t xml:space="preserve"> F</w:t>
      </w:r>
      <w:r w:rsidRPr="00716DA8">
        <w:rPr>
          <w:rFonts w:ascii="Euphemia" w:hAnsi="Euphemia" w:cs="Consolas"/>
          <w:color w:val="FFC000" w:themeColor="accent4"/>
          <w:sz w:val="40"/>
          <w:szCs w:val="40"/>
        </w:rPr>
        <w:t>ormation</w:t>
      </w:r>
    </w:p>
    <w:p w:rsidR="00183439" w:rsidRPr="00552EDA" w:rsidRDefault="00183439" w:rsidP="00183439">
      <w:pPr>
        <w:spacing w:before="40" w:after="40"/>
        <w:rPr>
          <w:rFonts w:ascii="Euphemia" w:hAnsi="Euphemia" w:cs="Consolas"/>
          <w:color w:val="0070C0"/>
          <w:u w:val="single"/>
        </w:rPr>
      </w:pPr>
    </w:p>
    <w:p w:rsidR="00A175B0" w:rsidRPr="00A175B0" w:rsidRDefault="00A175B0" w:rsidP="00A175B0">
      <w:pPr>
        <w:pStyle w:val="NormalWeb"/>
        <w:spacing w:before="0" w:beforeAutospacing="0" w:after="0" w:afterAutospacing="0"/>
        <w:jc w:val="both"/>
        <w:rPr>
          <w:rFonts w:ascii="Euphemia" w:hAnsi="Euphemia"/>
          <w:sz w:val="22"/>
        </w:rPr>
      </w:pPr>
      <w:r>
        <w:rPr>
          <w:rFonts w:ascii="Euphemia" w:hAnsi="Euphemia"/>
          <w:color w:val="000000"/>
          <w:sz w:val="22"/>
        </w:rPr>
        <w:t>Le Service Civique F</w:t>
      </w:r>
      <w:r w:rsidRPr="00A175B0">
        <w:rPr>
          <w:rFonts w:ascii="Euphemia" w:hAnsi="Euphemia"/>
          <w:color w:val="000000"/>
          <w:sz w:val="22"/>
        </w:rPr>
        <w:t>ormation (désigné sous le terme SCF) est l’adaptation dans l’Yonne du service civique alterné, d’après le cahier des charges initial proposé par l’agence nationale du service civique en 2013.</w:t>
      </w:r>
    </w:p>
    <w:p w:rsidR="00A175B0" w:rsidRPr="00183439" w:rsidRDefault="00A175B0" w:rsidP="00A175B0">
      <w:pPr>
        <w:spacing w:before="40" w:after="40"/>
        <w:jc w:val="center"/>
        <w:rPr>
          <w:rFonts w:ascii="Euphemia" w:hAnsi="Euphemia" w:cs="Consolas"/>
          <w:b/>
          <w:i/>
          <w:color w:val="0070C0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183439" w:rsidRPr="00552EDA" w:rsidTr="00623437">
        <w:trPr>
          <w:jc w:val="center"/>
        </w:trPr>
        <w:tc>
          <w:tcPr>
            <w:tcW w:w="10881" w:type="dxa"/>
            <w:shd w:val="clear" w:color="auto" w:fill="FFC000"/>
          </w:tcPr>
          <w:p w:rsidR="00183439" w:rsidRPr="00183439" w:rsidRDefault="00183439" w:rsidP="00623437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</w:rPr>
            </w:pPr>
            <w:r w:rsidRPr="00183439">
              <w:rPr>
                <w:rFonts w:ascii="Euphemia" w:hAnsi="Euphemia" w:cs="Consolas"/>
                <w:b/>
                <w:i/>
                <w:color w:val="0070C0"/>
              </w:rPr>
              <w:t>Le public accueilli</w:t>
            </w:r>
          </w:p>
        </w:tc>
      </w:tr>
    </w:tbl>
    <w:p w:rsidR="004B1299" w:rsidRPr="00AF1D11" w:rsidRDefault="004B1299" w:rsidP="004B1299">
      <w:pPr>
        <w:pStyle w:val="NormalWeb"/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bCs/>
          <w:color w:val="000000"/>
          <w:sz w:val="20"/>
          <w:szCs w:val="20"/>
        </w:rPr>
        <w:t>Le dispositif s’adresse aux jeunes réunissant les conditions suivantes :</w:t>
      </w:r>
      <w:r w:rsidRPr="00AF1D11">
        <w:rPr>
          <w:rFonts w:ascii="Euphemia" w:hAnsi="Euphemia"/>
          <w:b/>
          <w:bCs/>
          <w:color w:val="000000"/>
          <w:sz w:val="20"/>
          <w:szCs w:val="20"/>
        </w:rPr>
        <w:t xml:space="preserve"> </w:t>
      </w:r>
    </w:p>
    <w:p w:rsidR="004B1299" w:rsidRPr="00AF1D11" w:rsidRDefault="004B1299" w:rsidP="00AF1D11">
      <w:pPr>
        <w:pStyle w:val="NormalWeb"/>
        <w:spacing w:before="0" w:beforeAutospacing="0" w:after="0" w:afterAutospacing="0"/>
        <w:ind w:left="714" w:hanging="357"/>
        <w:jc w:val="both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color w:val="000000"/>
          <w:sz w:val="20"/>
          <w:szCs w:val="20"/>
        </w:rPr>
        <w:t>-          Êtr</w:t>
      </w:r>
      <w:r w:rsidR="00AF1D11">
        <w:rPr>
          <w:rFonts w:ascii="Euphemia" w:hAnsi="Euphemia"/>
          <w:color w:val="000000"/>
          <w:sz w:val="20"/>
          <w:szCs w:val="20"/>
        </w:rPr>
        <w:t>e sans diplôme ni qualification</w:t>
      </w:r>
      <w:r w:rsidR="00AF1D11" w:rsidRPr="00AF1D11">
        <w:rPr>
          <w:rFonts w:ascii="Euphemia" w:hAnsi="Euphemia"/>
          <w:color w:val="000000"/>
          <w:sz w:val="20"/>
          <w:szCs w:val="20"/>
          <w:vertAlign w:val="superscript"/>
        </w:rPr>
        <w:t>1</w:t>
      </w:r>
      <w:r w:rsidRPr="00AF1D11">
        <w:rPr>
          <w:rFonts w:ascii="Euphemia" w:hAnsi="Euphemia"/>
          <w:color w:val="000000"/>
          <w:sz w:val="20"/>
          <w:szCs w:val="20"/>
        </w:rPr>
        <w:t>,</w:t>
      </w:r>
    </w:p>
    <w:p w:rsidR="004B1299" w:rsidRPr="00AF1D11" w:rsidRDefault="004B1299" w:rsidP="00AF1D11">
      <w:pPr>
        <w:pStyle w:val="NormalWeb"/>
        <w:spacing w:before="0" w:beforeAutospacing="0" w:after="0" w:afterAutospacing="0"/>
        <w:ind w:left="714" w:hanging="357"/>
        <w:jc w:val="both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color w:val="000000"/>
          <w:sz w:val="20"/>
          <w:szCs w:val="20"/>
        </w:rPr>
        <w:t>-          Résider dans l’Yonne</w:t>
      </w:r>
      <w:r w:rsidR="00AF1D11" w:rsidRPr="00AF1D11">
        <w:rPr>
          <w:rFonts w:ascii="Euphemia" w:hAnsi="Euphemia"/>
          <w:color w:val="000000"/>
          <w:sz w:val="20"/>
          <w:szCs w:val="20"/>
          <w:vertAlign w:val="superscript"/>
        </w:rPr>
        <w:t>2</w:t>
      </w:r>
      <w:r w:rsidRPr="00AF1D11">
        <w:rPr>
          <w:rFonts w:ascii="Euphemia" w:hAnsi="Euphemia"/>
          <w:color w:val="000000"/>
          <w:sz w:val="20"/>
          <w:szCs w:val="20"/>
        </w:rPr>
        <w:t>,</w:t>
      </w:r>
    </w:p>
    <w:p w:rsidR="004B1299" w:rsidRPr="00AF1D11" w:rsidRDefault="004B1299" w:rsidP="00AF1D11">
      <w:pPr>
        <w:pStyle w:val="NormalWeb"/>
        <w:spacing w:before="0" w:beforeAutospacing="0" w:after="0" w:afterAutospacing="0"/>
        <w:ind w:left="714" w:hanging="357"/>
        <w:jc w:val="both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color w:val="000000"/>
          <w:sz w:val="20"/>
          <w:szCs w:val="20"/>
        </w:rPr>
        <w:t>-          Être âgée(e)s de 16 à 25 ans (jusqu’à 30 ans pour les jeunes en situation de handicap)</w:t>
      </w:r>
    </w:p>
    <w:p w:rsidR="004B1299" w:rsidRPr="00AF1D11" w:rsidRDefault="004B1299" w:rsidP="00AF1D11">
      <w:pPr>
        <w:pStyle w:val="NormalWeb"/>
        <w:spacing w:before="0" w:beforeAutospacing="0" w:after="0" w:afterAutospacing="0"/>
        <w:ind w:left="714" w:hanging="357"/>
        <w:jc w:val="both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color w:val="000000"/>
          <w:sz w:val="20"/>
          <w:szCs w:val="20"/>
        </w:rPr>
        <w:t>-          Avoir défini un projet impliquant un accompagnement pédagogique</w:t>
      </w:r>
    </w:p>
    <w:p w:rsidR="00AF1D11" w:rsidRPr="00AF1D11" w:rsidRDefault="00AF1D11" w:rsidP="004B1299">
      <w:pPr>
        <w:pStyle w:val="NormalWeb"/>
        <w:spacing w:before="0" w:beforeAutospacing="0" w:after="0" w:afterAutospacing="0"/>
        <w:jc w:val="both"/>
        <w:rPr>
          <w:rFonts w:ascii="Euphemia" w:hAnsi="Euphemia"/>
          <w:sz w:val="16"/>
        </w:rPr>
      </w:pPr>
    </w:p>
    <w:p w:rsidR="004B1299" w:rsidRPr="00AF1D11" w:rsidRDefault="004B1299" w:rsidP="004B1299">
      <w:pPr>
        <w:pStyle w:val="NormalWeb"/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bCs/>
          <w:color w:val="000000"/>
          <w:sz w:val="20"/>
          <w:szCs w:val="20"/>
        </w:rPr>
        <w:t>Souhaitant s’inscrire dans l’un des deux parcours pédagogiques suivants pour :</w:t>
      </w:r>
    </w:p>
    <w:p w:rsidR="00AF1D11" w:rsidRPr="00AF1D11" w:rsidRDefault="004B1299" w:rsidP="008C6E0A">
      <w:pPr>
        <w:pStyle w:val="NormalWeb"/>
        <w:numPr>
          <w:ilvl w:val="0"/>
          <w:numId w:val="10"/>
        </w:numPr>
        <w:spacing w:before="0" w:beforeAutospacing="0" w:after="0" w:afterAutospacing="0"/>
        <w:ind w:firstLine="720"/>
        <w:jc w:val="both"/>
        <w:textAlignment w:val="baseline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color w:val="000000"/>
          <w:sz w:val="20"/>
          <w:szCs w:val="20"/>
        </w:rPr>
        <w:t>Préparer les épreuves d’un examen</w:t>
      </w:r>
      <w:r w:rsidRPr="00AF1D11">
        <w:rPr>
          <w:rFonts w:ascii="Euphemia" w:hAnsi="Euphemia"/>
          <w:color w:val="FF0000"/>
          <w:sz w:val="20"/>
          <w:szCs w:val="20"/>
        </w:rPr>
        <w:t xml:space="preserve"> </w:t>
      </w:r>
      <w:r w:rsidRPr="00AF1D11">
        <w:rPr>
          <w:rFonts w:ascii="Euphemia" w:hAnsi="Euphemia"/>
          <w:sz w:val="20"/>
          <w:szCs w:val="20"/>
        </w:rPr>
        <w:t xml:space="preserve">de </w:t>
      </w:r>
      <w:r w:rsidRPr="00AF1D11">
        <w:rPr>
          <w:rFonts w:ascii="Euphemia" w:hAnsi="Euphemia"/>
          <w:sz w:val="20"/>
          <w:szCs w:val="20"/>
          <w:u w:val="single"/>
        </w:rPr>
        <w:t>niveau V ou IV</w:t>
      </w:r>
      <w:r w:rsidR="00AF1D11">
        <w:rPr>
          <w:rFonts w:ascii="Euphemia" w:hAnsi="Euphemia"/>
          <w:sz w:val="20"/>
          <w:szCs w:val="20"/>
          <w:vertAlign w:val="superscript"/>
        </w:rPr>
        <w:t>3</w:t>
      </w:r>
      <w:r w:rsidRPr="00AF1D11">
        <w:rPr>
          <w:rFonts w:ascii="Euphemia" w:hAnsi="Euphemia"/>
          <w:sz w:val="20"/>
          <w:szCs w:val="20"/>
        </w:rPr>
        <w:t xml:space="preserve"> </w:t>
      </w:r>
    </w:p>
    <w:p w:rsidR="00AF1D11" w:rsidRPr="00AF1D11" w:rsidRDefault="00AF1D11" w:rsidP="00AF1D11">
      <w:pPr>
        <w:pStyle w:val="NormalWeb"/>
        <w:spacing w:before="0" w:beforeAutospacing="0" w:after="0" w:afterAutospacing="0"/>
        <w:ind w:left="4265" w:firstLine="698"/>
        <w:jc w:val="both"/>
        <w:rPr>
          <w:rFonts w:ascii="Euphemia" w:hAnsi="Euphemia"/>
          <w:b/>
          <w:sz w:val="20"/>
          <w:szCs w:val="20"/>
        </w:rPr>
      </w:pPr>
      <w:r w:rsidRPr="00AF1D11">
        <w:rPr>
          <w:rFonts w:ascii="Euphemia" w:hAnsi="Euphemia"/>
          <w:b/>
          <w:bCs/>
          <w:color w:val="000000"/>
          <w:sz w:val="20"/>
          <w:szCs w:val="20"/>
        </w:rPr>
        <w:t>OU</w:t>
      </w:r>
    </w:p>
    <w:p w:rsidR="004B1299" w:rsidRPr="0069581D" w:rsidRDefault="00AF1D11" w:rsidP="0069581D">
      <w:pPr>
        <w:pStyle w:val="Normal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1440"/>
        <w:jc w:val="both"/>
        <w:textAlignment w:val="baseline"/>
        <w:rPr>
          <w:rFonts w:ascii="Euphemia" w:hAnsi="Euphemia"/>
          <w:sz w:val="20"/>
          <w:szCs w:val="20"/>
        </w:rPr>
      </w:pPr>
      <w:r w:rsidRPr="00AF1D11">
        <w:rPr>
          <w:rFonts w:ascii="Euphemia" w:hAnsi="Euphemia"/>
          <w:bCs/>
          <w:color w:val="000000"/>
          <w:sz w:val="20"/>
          <w:szCs w:val="20"/>
        </w:rPr>
        <w:t>Se remettre à niveau</w:t>
      </w:r>
      <w:r w:rsidRPr="00AF1D11">
        <w:rPr>
          <w:rFonts w:ascii="Euphemia" w:hAnsi="Euphemia"/>
          <w:color w:val="000000"/>
          <w:sz w:val="20"/>
          <w:szCs w:val="20"/>
        </w:rPr>
        <w:t xml:space="preserve"> et se préparer dans un parcours adapté pour</w:t>
      </w:r>
      <w:r>
        <w:rPr>
          <w:rFonts w:ascii="Euphemia" w:hAnsi="Euphemia"/>
          <w:color w:val="000000"/>
          <w:sz w:val="20"/>
          <w:szCs w:val="20"/>
        </w:rPr>
        <w:t xml:space="preserve"> acc</w:t>
      </w:r>
      <w:r w:rsidR="0069581D">
        <w:rPr>
          <w:rFonts w:ascii="Euphemia" w:hAnsi="Euphemia"/>
          <w:color w:val="000000"/>
          <w:sz w:val="20"/>
          <w:szCs w:val="20"/>
        </w:rPr>
        <w:t xml:space="preserve">éder à un retour </w:t>
      </w:r>
      <w:r w:rsidRPr="00AF1D11">
        <w:rPr>
          <w:rFonts w:ascii="Euphemia" w:hAnsi="Euphemia"/>
          <w:color w:val="000000"/>
          <w:sz w:val="20"/>
          <w:szCs w:val="20"/>
        </w:rPr>
        <w:t xml:space="preserve">ou une entrée </w:t>
      </w:r>
      <w:r w:rsidR="004B1299" w:rsidRPr="00AF1D11">
        <w:rPr>
          <w:rFonts w:ascii="Euphemia" w:hAnsi="Euphemia"/>
          <w:color w:val="000000"/>
          <w:sz w:val="20"/>
          <w:szCs w:val="20"/>
        </w:rPr>
        <w:t>en formation initiale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left="4275" w:firstLine="686"/>
        <w:textAlignment w:val="baseline"/>
        <w:rPr>
          <w:rFonts w:ascii="Euphemia" w:hAnsi="Euphemia"/>
          <w:b/>
          <w:sz w:val="20"/>
          <w:szCs w:val="20"/>
        </w:rPr>
      </w:pPr>
      <w:r w:rsidRPr="0069581D">
        <w:rPr>
          <w:rFonts w:ascii="Euphemia" w:hAnsi="Euphemia"/>
          <w:b/>
          <w:color w:val="000000"/>
          <w:sz w:val="20"/>
          <w:szCs w:val="20"/>
        </w:rPr>
        <w:t>ET</w:t>
      </w:r>
    </w:p>
    <w:p w:rsidR="0069581D" w:rsidRPr="00AF1D11" w:rsidRDefault="0069581D" w:rsidP="0069679F">
      <w:pPr>
        <w:pStyle w:val="NormalWeb"/>
        <w:numPr>
          <w:ilvl w:val="0"/>
          <w:numId w:val="10"/>
        </w:numPr>
        <w:spacing w:before="0" w:beforeAutospacing="0" w:after="160" w:afterAutospacing="0"/>
        <w:ind w:firstLine="720"/>
        <w:jc w:val="both"/>
        <w:textAlignment w:val="baseline"/>
        <w:rPr>
          <w:rFonts w:ascii="Euphemia" w:hAnsi="Euphemia"/>
          <w:sz w:val="20"/>
          <w:szCs w:val="20"/>
        </w:rPr>
      </w:pPr>
      <w:r>
        <w:rPr>
          <w:rFonts w:ascii="Euphemia" w:hAnsi="Euphemia"/>
          <w:color w:val="000000"/>
          <w:sz w:val="20"/>
          <w:szCs w:val="20"/>
        </w:rPr>
        <w:t>Accomplir une mission en qualité de volontaire de service civique</w:t>
      </w:r>
    </w:p>
    <w:p w:rsidR="00AF1D11" w:rsidRPr="00AF1D11" w:rsidRDefault="00AF1D11" w:rsidP="00AF1D11">
      <w:pPr>
        <w:pStyle w:val="NormalWeb"/>
        <w:spacing w:before="0" w:beforeAutospacing="0" w:after="0" w:afterAutospacing="0"/>
        <w:jc w:val="both"/>
        <w:rPr>
          <w:rFonts w:ascii="Euphemia" w:hAnsi="Euphemia"/>
          <w:sz w:val="16"/>
        </w:rPr>
      </w:pPr>
      <w:r w:rsidRPr="0069581D">
        <w:rPr>
          <w:rFonts w:ascii="Euphemia" w:hAnsi="Euphemia"/>
          <w:i/>
          <w:iCs/>
          <w:color w:val="000000"/>
          <w:sz w:val="16"/>
          <w:vertAlign w:val="superscript"/>
        </w:rPr>
        <w:t>1</w:t>
      </w:r>
      <w:r w:rsidR="0069581D">
        <w:rPr>
          <w:rFonts w:ascii="Euphemia" w:hAnsi="Euphemia"/>
          <w:i/>
          <w:iCs/>
          <w:color w:val="000000"/>
          <w:sz w:val="16"/>
        </w:rPr>
        <w:t>-</w:t>
      </w:r>
      <w:r>
        <w:rPr>
          <w:rFonts w:ascii="Euphemia" w:hAnsi="Euphemia"/>
          <w:i/>
          <w:iCs/>
          <w:color w:val="000000"/>
          <w:sz w:val="16"/>
        </w:rPr>
        <w:t xml:space="preserve"> </w:t>
      </w:r>
      <w:r w:rsidRPr="00AF1D11">
        <w:rPr>
          <w:rFonts w:ascii="Euphemia" w:hAnsi="Euphemia"/>
          <w:i/>
          <w:iCs/>
          <w:color w:val="000000"/>
          <w:sz w:val="16"/>
        </w:rPr>
        <w:t>Les jeunes diplômés de niveau V, se réorientant vers un diplôme de même niveau, ne sont pas exclus mais ne sont pas prioritaires.</w:t>
      </w:r>
    </w:p>
    <w:p w:rsidR="00AF1D11" w:rsidRPr="00AF1D11" w:rsidRDefault="00AF1D11" w:rsidP="00AF1D11">
      <w:pPr>
        <w:pStyle w:val="NormalWeb"/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i/>
          <w:iCs/>
          <w:color w:val="000000"/>
          <w:sz w:val="16"/>
          <w:vertAlign w:val="superscript"/>
        </w:rPr>
        <w:t>2</w:t>
      </w:r>
      <w:r w:rsidR="0069581D">
        <w:rPr>
          <w:rFonts w:ascii="Euphemia" w:hAnsi="Euphemia"/>
          <w:i/>
          <w:iCs/>
          <w:color w:val="000000"/>
          <w:sz w:val="16"/>
        </w:rPr>
        <w:t>-</w:t>
      </w:r>
      <w:r>
        <w:rPr>
          <w:rFonts w:ascii="Euphemia" w:hAnsi="Euphemia"/>
          <w:i/>
          <w:iCs/>
          <w:color w:val="000000"/>
          <w:sz w:val="16"/>
        </w:rPr>
        <w:t xml:space="preserve"> </w:t>
      </w:r>
      <w:r w:rsidRPr="00AF1D11">
        <w:rPr>
          <w:rFonts w:ascii="Euphemia" w:hAnsi="Euphemia"/>
          <w:i/>
          <w:iCs/>
          <w:color w:val="000000"/>
          <w:sz w:val="16"/>
        </w:rPr>
        <w:t xml:space="preserve">Pour les demandes hors département (limitrophes), </w:t>
      </w:r>
      <w:r w:rsidR="0069581D">
        <w:rPr>
          <w:rFonts w:ascii="Euphemia" w:hAnsi="Euphemia"/>
          <w:i/>
          <w:iCs/>
          <w:color w:val="000000"/>
          <w:sz w:val="16"/>
        </w:rPr>
        <w:t>réalisation d’une étude de faisabilité</w:t>
      </w:r>
      <w:r w:rsidRPr="00AF1D11">
        <w:rPr>
          <w:rFonts w:ascii="Euphemia" w:hAnsi="Euphemia"/>
          <w:i/>
          <w:iCs/>
          <w:color w:val="000000"/>
          <w:sz w:val="16"/>
        </w:rPr>
        <w:t xml:space="preserve"> avec les partenaires des territoires.</w:t>
      </w:r>
    </w:p>
    <w:p w:rsidR="00183439" w:rsidRDefault="00AF1D11" w:rsidP="00AF1D11">
      <w:pPr>
        <w:pStyle w:val="NormalWeb"/>
        <w:spacing w:before="0" w:beforeAutospacing="0" w:after="0" w:afterAutospacing="0"/>
        <w:jc w:val="both"/>
        <w:textAlignment w:val="baseline"/>
        <w:rPr>
          <w:rFonts w:ascii="Euphemia" w:hAnsi="Euphemia"/>
          <w:i/>
          <w:iCs/>
          <w:sz w:val="16"/>
          <w:szCs w:val="20"/>
        </w:rPr>
      </w:pPr>
      <w:r w:rsidRPr="0069581D">
        <w:rPr>
          <w:rFonts w:ascii="Euphemia" w:hAnsi="Euphemia"/>
          <w:i/>
          <w:iCs/>
          <w:sz w:val="16"/>
          <w:szCs w:val="20"/>
          <w:vertAlign w:val="superscript"/>
        </w:rPr>
        <w:t>3</w:t>
      </w:r>
      <w:r w:rsidR="0069581D">
        <w:rPr>
          <w:rFonts w:ascii="Euphemia" w:hAnsi="Euphemia"/>
          <w:i/>
          <w:iCs/>
          <w:sz w:val="16"/>
          <w:szCs w:val="20"/>
        </w:rPr>
        <w:t>-</w:t>
      </w:r>
      <w:r>
        <w:rPr>
          <w:rFonts w:ascii="Euphemia" w:hAnsi="Euphemia"/>
          <w:i/>
          <w:iCs/>
          <w:sz w:val="16"/>
          <w:szCs w:val="20"/>
        </w:rPr>
        <w:t xml:space="preserve"> </w:t>
      </w:r>
      <w:r w:rsidRPr="00AF1D11">
        <w:rPr>
          <w:rFonts w:ascii="Euphemia" w:hAnsi="Euphemia"/>
          <w:i/>
          <w:iCs/>
          <w:sz w:val="16"/>
          <w:szCs w:val="20"/>
        </w:rPr>
        <w:t>Les projets réalisés sous le statut de stagiaire de la formation professionnelle ne sont pas éligibles.</w:t>
      </w:r>
    </w:p>
    <w:p w:rsidR="00AF1D11" w:rsidRPr="00552EDA" w:rsidRDefault="00AF1D11" w:rsidP="00AF1D11">
      <w:pPr>
        <w:pStyle w:val="NormalWeb"/>
        <w:spacing w:before="0" w:beforeAutospacing="0" w:after="0" w:afterAutospacing="0"/>
        <w:jc w:val="both"/>
        <w:textAlignment w:val="baseline"/>
        <w:rPr>
          <w:rFonts w:ascii="Euphemia" w:hAnsi="Euphemia" w:cs="Consolas"/>
          <w:b/>
          <w:sz w:val="20"/>
          <w:szCs w:val="20"/>
          <w:shd w:val="clear" w:color="auto" w:fill="FFFFFF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183439" w:rsidRPr="00552EDA" w:rsidTr="00623437">
        <w:trPr>
          <w:jc w:val="center"/>
        </w:trPr>
        <w:tc>
          <w:tcPr>
            <w:tcW w:w="10881" w:type="dxa"/>
            <w:shd w:val="clear" w:color="auto" w:fill="FFC000"/>
          </w:tcPr>
          <w:p w:rsidR="00183439" w:rsidRPr="00552EDA" w:rsidRDefault="00183439" w:rsidP="00623437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183439">
              <w:rPr>
                <w:rFonts w:ascii="Euphemia" w:hAnsi="Euphemia" w:cs="Consolas"/>
                <w:b/>
                <w:i/>
                <w:color w:val="0070C0"/>
                <w:szCs w:val="32"/>
              </w:rPr>
              <w:t>Descriptif du dispositif</w:t>
            </w:r>
          </w:p>
        </w:tc>
      </w:tr>
    </w:tbl>
    <w:p w:rsidR="0069581D" w:rsidRPr="0069581D" w:rsidRDefault="0069581D" w:rsidP="0069581D">
      <w:pPr>
        <w:pStyle w:val="NormalWeb"/>
        <w:numPr>
          <w:ilvl w:val="0"/>
          <w:numId w:val="14"/>
        </w:numPr>
        <w:spacing w:before="0" w:beforeAutospacing="0" w:after="160" w:afterAutospacing="0"/>
        <w:jc w:val="both"/>
        <w:textAlignment w:val="baseline"/>
        <w:rPr>
          <w:rFonts w:ascii="Euphemia" w:hAnsi="Euphemia"/>
          <w:color w:val="000000"/>
          <w:sz w:val="20"/>
          <w:szCs w:val="20"/>
        </w:rPr>
      </w:pPr>
      <w:r w:rsidRPr="0069581D">
        <w:rPr>
          <w:rFonts w:ascii="Euphemia" w:hAnsi="Euphemia"/>
          <w:bCs/>
          <w:color w:val="000000"/>
          <w:sz w:val="20"/>
          <w:szCs w:val="20"/>
          <w:u w:val="single"/>
        </w:rPr>
        <w:t>Une mission de service civique réalisée dans l’Yonne</w:t>
      </w:r>
      <w:r w:rsidRPr="0069581D">
        <w:rPr>
          <w:rFonts w:ascii="Euphemia" w:hAnsi="Euphemia"/>
          <w:b/>
          <w:bCs/>
          <w:color w:val="000000"/>
          <w:sz w:val="20"/>
          <w:szCs w:val="20"/>
        </w:rPr>
        <w:t>,</w:t>
      </w:r>
      <w:r w:rsidRPr="0069581D">
        <w:rPr>
          <w:rFonts w:ascii="Euphemia" w:hAnsi="Euphemia"/>
          <w:color w:val="000000"/>
          <w:sz w:val="20"/>
          <w:szCs w:val="20"/>
        </w:rPr>
        <w:t xml:space="preserve"> (2</w:t>
      </w:r>
      <w:r w:rsidR="00C12538">
        <w:rPr>
          <w:rFonts w:ascii="Euphemia" w:hAnsi="Euphemia"/>
          <w:color w:val="000000"/>
          <w:sz w:val="20"/>
          <w:szCs w:val="20"/>
        </w:rPr>
        <w:t>4 heures hebdomadaire maximum) ;</w:t>
      </w:r>
      <w:r w:rsidRPr="0069581D">
        <w:rPr>
          <w:rFonts w:ascii="Euphemia" w:hAnsi="Euphemia"/>
          <w:color w:val="000000"/>
          <w:sz w:val="20"/>
          <w:szCs w:val="20"/>
        </w:rPr>
        <w:t xml:space="preserve"> </w:t>
      </w:r>
      <w:r w:rsidR="00C12538">
        <w:rPr>
          <w:rFonts w:ascii="Euphemia" w:hAnsi="Euphemia"/>
          <w:color w:val="000000"/>
          <w:sz w:val="20"/>
          <w:szCs w:val="20"/>
        </w:rPr>
        <w:t>c</w:t>
      </w:r>
      <w:r w:rsidRPr="0069581D">
        <w:rPr>
          <w:rFonts w:ascii="Euphemia" w:hAnsi="Euphemia"/>
          <w:color w:val="000000"/>
          <w:sz w:val="20"/>
          <w:szCs w:val="20"/>
        </w:rPr>
        <w:t xml:space="preserve">onstruite avec le jeune, elle tient compte de ses motivations, de ses projets et de sa mobilité, </w:t>
      </w:r>
    </w:p>
    <w:p w:rsidR="0069581D" w:rsidRPr="0069581D" w:rsidRDefault="0069581D" w:rsidP="0069581D">
      <w:pPr>
        <w:pStyle w:val="NormalWeb"/>
        <w:spacing w:before="0" w:beforeAutospacing="0" w:after="160" w:afterAutospacing="0"/>
        <w:ind w:firstLine="360"/>
        <w:jc w:val="both"/>
        <w:textAlignment w:val="baseline"/>
        <w:rPr>
          <w:rFonts w:ascii="Euphemia" w:hAnsi="Euphemia"/>
          <w:color w:val="000000"/>
          <w:sz w:val="20"/>
          <w:szCs w:val="20"/>
        </w:rPr>
      </w:pPr>
      <w:r>
        <w:rPr>
          <w:rFonts w:ascii="Euphemia" w:hAnsi="Euphemia"/>
          <w:b/>
          <w:bCs/>
          <w:color w:val="000000"/>
          <w:sz w:val="20"/>
          <w:szCs w:val="20"/>
        </w:rPr>
        <w:t xml:space="preserve">- </w:t>
      </w:r>
      <w:r>
        <w:rPr>
          <w:rFonts w:ascii="Euphemia" w:hAnsi="Euphemia"/>
          <w:b/>
          <w:bCs/>
          <w:color w:val="000000"/>
          <w:sz w:val="20"/>
          <w:szCs w:val="20"/>
        </w:rPr>
        <w:tab/>
      </w:r>
      <w:r w:rsidRPr="0069581D">
        <w:rPr>
          <w:rFonts w:ascii="Euphemia" w:hAnsi="Euphemia"/>
          <w:bCs/>
          <w:color w:val="000000"/>
          <w:sz w:val="20"/>
          <w:szCs w:val="20"/>
          <w:u w:val="single"/>
        </w:rPr>
        <w:t>Un accompagnement pédagogique personnalisé</w:t>
      </w:r>
      <w:r w:rsidRPr="0069581D">
        <w:rPr>
          <w:rFonts w:ascii="Euphemia" w:hAnsi="Euphemia"/>
          <w:color w:val="000000"/>
          <w:sz w:val="20"/>
          <w:szCs w:val="20"/>
        </w:rPr>
        <w:t xml:space="preserve"> : 12 heures hebdomadaire en moyenne et modulables. Les apports pédagogiques sont adaptés aux besoins et parcours de chacun comme par exemples :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firstLine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</w:rPr>
        <w:t>- Cours en immersion en classe dans un établissement scolaire,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firstLine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</w:rPr>
        <w:t>- Cours particuliers en groupe classe SCF, dispensés par des intervenants vacataires,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firstLine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</w:rPr>
        <w:t>- Accompagnement pédagogique et méthodologique par les coordinateurs SCF,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firstLine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</w:rPr>
        <w:t>- Stages de découverte et d’immersion dans un domaine en lien avec le projet,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firstLine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</w:rPr>
        <w:t>- Interventions de professionnels en lien avec les projets et les besoins du groupe,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firstLine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</w:rPr>
        <w:t>- Actions culturelles propices au développement des savoirs,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left="360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color w:val="000000"/>
          <w:sz w:val="20"/>
          <w:szCs w:val="20"/>
        </w:rPr>
        <w:t xml:space="preserve">- </w:t>
      </w:r>
      <w:r w:rsidRPr="0069581D">
        <w:rPr>
          <w:rFonts w:ascii="Euphemia" w:hAnsi="Euphemia"/>
          <w:color w:val="000000"/>
          <w:sz w:val="20"/>
          <w:szCs w:val="20"/>
        </w:rPr>
        <w:t>Partenariat avec des associations et organismes dans le cadre des projets d’orientation tels que les métiers, de la santé et du social, de l’animation sportive ou sociocultu</w:t>
      </w:r>
      <w:r>
        <w:rPr>
          <w:rFonts w:ascii="Euphemia" w:hAnsi="Euphemia"/>
          <w:color w:val="000000"/>
          <w:sz w:val="20"/>
          <w:szCs w:val="20"/>
        </w:rPr>
        <w:t xml:space="preserve">relle : parcours </w:t>
      </w:r>
      <w:r w:rsidRPr="0069581D">
        <w:rPr>
          <w:rFonts w:ascii="Euphemia" w:hAnsi="Euphemia"/>
          <w:color w:val="000000"/>
          <w:sz w:val="20"/>
          <w:szCs w:val="20"/>
        </w:rPr>
        <w:t>coordonnés</w:t>
      </w:r>
      <w:r>
        <w:rPr>
          <w:rFonts w:ascii="Euphemia" w:hAnsi="Euphemia"/>
          <w:color w:val="000000"/>
          <w:sz w:val="20"/>
          <w:szCs w:val="20"/>
        </w:rPr>
        <w:t xml:space="preserve"> </w:t>
      </w:r>
      <w:r w:rsidRPr="0069581D">
        <w:rPr>
          <w:rFonts w:ascii="Euphemia" w:hAnsi="Euphemia"/>
          <w:color w:val="000000"/>
          <w:sz w:val="20"/>
          <w:szCs w:val="20"/>
        </w:rPr>
        <w:t>par la Ligue de l’enseignement en concertation avec la MLDS.</w:t>
      </w:r>
    </w:p>
    <w:p w:rsidR="004B1299" w:rsidRPr="001A7923" w:rsidRDefault="004B129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B7286F" w:rsidRPr="00B7286F" w:rsidRDefault="004B1299" w:rsidP="00B7286F">
      <w:pPr>
        <w:shd w:val="clear" w:color="auto" w:fill="FFC000" w:themeFill="accent4"/>
        <w:spacing w:before="40" w:after="40"/>
        <w:jc w:val="center"/>
        <w:rPr>
          <w:rFonts w:ascii="Euphemia" w:hAnsi="Euphemia" w:cs="Consolas"/>
          <w:b/>
          <w:i/>
          <w:color w:val="0070C0"/>
        </w:rPr>
      </w:pPr>
      <w:r>
        <w:rPr>
          <w:rFonts w:ascii="Euphemia" w:hAnsi="Euphemia" w:cs="Consolas"/>
          <w:b/>
          <w:i/>
          <w:color w:val="0070C0"/>
        </w:rPr>
        <w:t>Les objectifs</w:t>
      </w:r>
    </w:p>
    <w:p w:rsidR="00B7286F" w:rsidRPr="00B7286F" w:rsidRDefault="00B7286F" w:rsidP="00B7286F">
      <w:pPr>
        <w:pStyle w:val="NormalWeb"/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lastRenderedPageBreak/>
        <w:tab/>
        <w:t xml:space="preserve">L’objectif principal est d’assurer un retour du jeune volontaire vers un itinéraire de formation </w:t>
      </w:r>
    </w:p>
    <w:p w:rsidR="0069581D" w:rsidRPr="00B7286F" w:rsidRDefault="0069581D" w:rsidP="0069581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  <w:shd w:val="clear" w:color="auto" w:fill="FFFFFF"/>
        </w:rPr>
        <w:t>Proposer une solution permettant de lier un projet de formation à une mission d’intérêt général,</w:t>
      </w:r>
    </w:p>
    <w:p w:rsidR="00B7286F" w:rsidRPr="00B7286F" w:rsidRDefault="00B7286F" w:rsidP="0069581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  <w:shd w:val="clear" w:color="auto" w:fill="FFFFFF"/>
        </w:rPr>
        <w:t>Assurer un suivi individuel et personnalisé des jeunes en fonction de leur projet,</w:t>
      </w:r>
    </w:p>
    <w:p w:rsidR="00B7286F" w:rsidRPr="0069581D" w:rsidRDefault="00B7286F" w:rsidP="00B7286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  <w:shd w:val="clear" w:color="auto" w:fill="FFFFFF"/>
        </w:rPr>
        <w:t>Redonner confiance envers le système éducatif et les institutions de la République,</w:t>
      </w:r>
    </w:p>
    <w:p w:rsidR="00B7286F" w:rsidRPr="00B7286F" w:rsidRDefault="00B7286F" w:rsidP="0069581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  <w:shd w:val="clear" w:color="auto" w:fill="FFFFFF"/>
        </w:rPr>
        <w:t>Stimuler l’accès à la culture et au savoir, favoriser l’épanouissement personnel,</w:t>
      </w:r>
    </w:p>
    <w:p w:rsidR="00B7286F" w:rsidRPr="00B7286F" w:rsidRDefault="00B7286F" w:rsidP="00B7286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  <w:shd w:val="clear" w:color="auto" w:fill="FFFFFF"/>
        </w:rPr>
        <w:t>Favoriser l’intégration sociale et la citoyenneté par l’expérience de service civique,</w:t>
      </w:r>
    </w:p>
    <w:p w:rsidR="0069581D" w:rsidRPr="00B7286F" w:rsidRDefault="00B7286F" w:rsidP="000D2601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0"/>
          <w:szCs w:val="20"/>
        </w:rPr>
      </w:pPr>
      <w:r w:rsidRPr="00B7286F">
        <w:rPr>
          <w:rFonts w:ascii="Euphemia" w:hAnsi="Euphemia"/>
          <w:color w:val="000000"/>
          <w:sz w:val="20"/>
          <w:szCs w:val="20"/>
          <w:shd w:val="clear" w:color="auto" w:fill="FFFFFF"/>
        </w:rPr>
        <w:t>Contribuer à réunir les conditions favorables à l’insertion professionnelle.</w:t>
      </w:r>
      <w:r w:rsidR="0069581D" w:rsidRPr="00B7286F">
        <w:rPr>
          <w:rFonts w:ascii="Euphemia" w:hAnsi="Euphemia"/>
          <w:color w:val="000000"/>
          <w:sz w:val="20"/>
          <w:szCs w:val="20"/>
          <w:shd w:val="clear" w:color="auto" w:fill="FFFFFF"/>
        </w:rPr>
        <w:t xml:space="preserve">                 </w:t>
      </w:r>
    </w:p>
    <w:p w:rsidR="0069581D" w:rsidRPr="0069581D" w:rsidRDefault="0069581D" w:rsidP="0069581D">
      <w:pPr>
        <w:pStyle w:val="NormalWeb"/>
        <w:spacing w:before="0" w:beforeAutospacing="0" w:after="0" w:afterAutospacing="0"/>
        <w:ind w:left="720" w:hanging="360"/>
        <w:jc w:val="both"/>
        <w:rPr>
          <w:rFonts w:ascii="Euphemia" w:hAnsi="Euphemia"/>
          <w:sz w:val="20"/>
          <w:szCs w:val="20"/>
        </w:rPr>
      </w:pPr>
      <w:r w:rsidRPr="0069581D">
        <w:rPr>
          <w:rFonts w:ascii="Euphemia" w:hAnsi="Euphemia"/>
          <w:color w:val="000000"/>
          <w:sz w:val="20"/>
          <w:szCs w:val="20"/>
          <w:shd w:val="clear" w:color="auto" w:fill="FFFFFF"/>
        </w:rPr>
        <w:t>         </w:t>
      </w:r>
    </w:p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color w:val="002060"/>
          <w:sz w:val="22"/>
          <w:szCs w:val="22"/>
          <w:u w:val="words"/>
          <w:shd w:val="clear" w:color="auto" w:fill="FFFFFF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183439" w:rsidRPr="00552EDA" w:rsidTr="00623437">
        <w:trPr>
          <w:jc w:val="center"/>
        </w:trPr>
        <w:tc>
          <w:tcPr>
            <w:tcW w:w="10881" w:type="dxa"/>
            <w:shd w:val="clear" w:color="auto" w:fill="FFC000"/>
          </w:tcPr>
          <w:p w:rsidR="00183439" w:rsidRPr="00552EDA" w:rsidRDefault="00183439" w:rsidP="00623437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183439">
              <w:rPr>
                <w:rFonts w:ascii="Euphemia" w:hAnsi="Euphemia" w:cs="Consolas"/>
                <w:b/>
                <w:i/>
                <w:color w:val="0070C0"/>
                <w:szCs w:val="32"/>
              </w:rPr>
              <w:t>Durée</w:t>
            </w:r>
          </w:p>
        </w:tc>
      </w:tr>
    </w:tbl>
    <w:p w:rsidR="00183439" w:rsidRPr="00314241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>
        <w:rPr>
          <w:rFonts w:ascii="Euphemia" w:hAnsi="Euphemia" w:cs="Consolas"/>
          <w:sz w:val="20"/>
          <w:szCs w:val="20"/>
          <w:shd w:val="clear" w:color="auto" w:fill="FFFFFF"/>
        </w:rPr>
        <w:t>Toute l’année scolaire. Dès l’entrée dans le dispositif, qui cependant doit avoir lieu avant la fermeture des serveurs académiques pour l’inscription à l’examen du baccalauréat.</w:t>
      </w:r>
    </w:p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tbl>
      <w:tblPr>
        <w:tblW w:w="0" w:type="auto"/>
        <w:shd w:val="solid" w:color="0070C0" w:fill="auto"/>
        <w:tblLook w:val="04A0" w:firstRow="1" w:lastRow="0" w:firstColumn="1" w:lastColumn="0" w:noHBand="0" w:noVBand="1"/>
      </w:tblPr>
      <w:tblGrid>
        <w:gridCol w:w="6912"/>
      </w:tblGrid>
      <w:tr w:rsidR="00183439" w:rsidRPr="00552EDA" w:rsidTr="00623437">
        <w:tc>
          <w:tcPr>
            <w:tcW w:w="6912" w:type="dxa"/>
            <w:shd w:val="solid" w:color="0070C0" w:fill="auto"/>
          </w:tcPr>
          <w:p w:rsidR="00183439" w:rsidRPr="00552EDA" w:rsidRDefault="00183439" w:rsidP="00623437">
            <w:pPr>
              <w:spacing w:before="40" w:after="40"/>
              <w:rPr>
                <w:rFonts w:ascii="Euphemia" w:hAnsi="Euphemia" w:cs="Consolas"/>
                <w:b/>
                <w:i/>
                <w:color w:val="FFFFFF"/>
                <w:sz w:val="32"/>
                <w:szCs w:val="32"/>
              </w:rPr>
            </w:pPr>
            <w:r w:rsidRPr="00552EDA">
              <w:rPr>
                <w:rFonts w:ascii="Euphemia" w:hAnsi="Euphemia" w:cs="Consolas"/>
                <w:b/>
                <w:i/>
                <w:color w:val="FFFFFF"/>
                <w:sz w:val="32"/>
                <w:szCs w:val="32"/>
              </w:rPr>
              <w:t>Les principales valeurs du dispositif sont :</w:t>
            </w:r>
          </w:p>
        </w:tc>
      </w:tr>
    </w:tbl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color w:val="385623"/>
          <w:sz w:val="20"/>
          <w:szCs w:val="20"/>
          <w:shd w:val="clear" w:color="auto" w:fill="FFFFFF"/>
        </w:rPr>
      </w:pP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>L’écoute et la compréhension des difficultés de l’élève tant sur le plan pédagogique, éducatif que personnel.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L’adaptabilité et l’adaptation de l’équipe à chaque situation.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La mise en valeur des capacités du jeune qui se sent en échec.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L’accompagnement dans la recherche du projet professionnel.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Le respect mutuel entre le jeune et l’équipe.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La création d’un lien entre les élèves et l’équipe mais également entre chaque élève (Service Civique Formation et MOREX).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Le travail et l’entraide entre les élèves. </w:t>
      </w:r>
    </w:p>
    <w:p w:rsidR="002C4E9D" w:rsidRPr="001377BE" w:rsidRDefault="002C4E9D" w:rsidP="00AD376B">
      <w:pPr>
        <w:tabs>
          <w:tab w:val="left" w:pos="1776"/>
        </w:tabs>
        <w:spacing w:before="100" w:after="100"/>
        <w:rPr>
          <w:rFonts w:ascii="Calibri" w:hAnsi="Calibri"/>
          <w:color w:val="0070C0"/>
          <w:sz w:val="20"/>
          <w:szCs w:val="20"/>
          <w:u w:val="single"/>
        </w:rPr>
      </w:pPr>
      <w:bookmarkStart w:id="0" w:name="_GoBack"/>
      <w:bookmarkEnd w:id="0"/>
    </w:p>
    <w:sectPr w:rsidR="002C4E9D" w:rsidRPr="001377BE" w:rsidSect="00E22484"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D8" w:rsidRDefault="00FC50D8" w:rsidP="00217894">
      <w:r>
        <w:separator/>
      </w:r>
    </w:p>
  </w:endnote>
  <w:endnote w:type="continuationSeparator" w:id="0">
    <w:p w:rsidR="00FC50D8" w:rsidRDefault="00FC50D8" w:rsidP="002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mic Sans MS"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D8" w:rsidRDefault="00FC50D8" w:rsidP="00217894">
      <w:r>
        <w:separator/>
      </w:r>
    </w:p>
  </w:footnote>
  <w:footnote w:type="continuationSeparator" w:id="0">
    <w:p w:rsidR="00FC50D8" w:rsidRDefault="00FC50D8" w:rsidP="002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1F9"/>
    <w:multiLevelType w:val="multilevel"/>
    <w:tmpl w:val="FEE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9082F"/>
    <w:multiLevelType w:val="hybridMultilevel"/>
    <w:tmpl w:val="6BF61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66A"/>
    <w:multiLevelType w:val="multilevel"/>
    <w:tmpl w:val="726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94C"/>
    <w:multiLevelType w:val="multilevel"/>
    <w:tmpl w:val="49582CF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E28F7"/>
    <w:multiLevelType w:val="hybridMultilevel"/>
    <w:tmpl w:val="AC4693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0CFE"/>
    <w:multiLevelType w:val="multilevel"/>
    <w:tmpl w:val="1D5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065CF"/>
    <w:multiLevelType w:val="hybridMultilevel"/>
    <w:tmpl w:val="FDBE2B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1E0F"/>
    <w:multiLevelType w:val="hybridMultilevel"/>
    <w:tmpl w:val="D03C31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7436B"/>
    <w:multiLevelType w:val="hybridMultilevel"/>
    <w:tmpl w:val="4D80884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4525"/>
    <w:multiLevelType w:val="hybridMultilevel"/>
    <w:tmpl w:val="B7BEAD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0DCE"/>
    <w:multiLevelType w:val="hybridMultilevel"/>
    <w:tmpl w:val="8E387F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2767"/>
    <w:multiLevelType w:val="hybridMultilevel"/>
    <w:tmpl w:val="A9F00D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F3575"/>
    <w:multiLevelType w:val="hybridMultilevel"/>
    <w:tmpl w:val="04A6B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E30"/>
    <w:multiLevelType w:val="hybridMultilevel"/>
    <w:tmpl w:val="8FDA17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5"/>
    <w:rsid w:val="00033B35"/>
    <w:rsid w:val="0005501B"/>
    <w:rsid w:val="0007163B"/>
    <w:rsid w:val="0007238D"/>
    <w:rsid w:val="000E1FC1"/>
    <w:rsid w:val="00114E76"/>
    <w:rsid w:val="001377BE"/>
    <w:rsid w:val="00145C28"/>
    <w:rsid w:val="001563F1"/>
    <w:rsid w:val="00171826"/>
    <w:rsid w:val="00183439"/>
    <w:rsid w:val="001D063C"/>
    <w:rsid w:val="001D34AB"/>
    <w:rsid w:val="001E2152"/>
    <w:rsid w:val="001E6F3B"/>
    <w:rsid w:val="00207167"/>
    <w:rsid w:val="00217894"/>
    <w:rsid w:val="00235C77"/>
    <w:rsid w:val="00241998"/>
    <w:rsid w:val="0028327E"/>
    <w:rsid w:val="002C4E9D"/>
    <w:rsid w:val="002F2883"/>
    <w:rsid w:val="00340B57"/>
    <w:rsid w:val="00356E1E"/>
    <w:rsid w:val="003C2F70"/>
    <w:rsid w:val="003D15D5"/>
    <w:rsid w:val="003D408E"/>
    <w:rsid w:val="003E4071"/>
    <w:rsid w:val="003F6498"/>
    <w:rsid w:val="004444F4"/>
    <w:rsid w:val="00450C49"/>
    <w:rsid w:val="00486462"/>
    <w:rsid w:val="00495717"/>
    <w:rsid w:val="004B1299"/>
    <w:rsid w:val="004C08FD"/>
    <w:rsid w:val="005137F5"/>
    <w:rsid w:val="00513AA0"/>
    <w:rsid w:val="00542492"/>
    <w:rsid w:val="00552EDA"/>
    <w:rsid w:val="00567CA2"/>
    <w:rsid w:val="005756E3"/>
    <w:rsid w:val="005B79B7"/>
    <w:rsid w:val="005D42BF"/>
    <w:rsid w:val="005F5F23"/>
    <w:rsid w:val="006022EE"/>
    <w:rsid w:val="0064442C"/>
    <w:rsid w:val="00657EF7"/>
    <w:rsid w:val="0069581D"/>
    <w:rsid w:val="006B1660"/>
    <w:rsid w:val="006C0A78"/>
    <w:rsid w:val="00716DA8"/>
    <w:rsid w:val="00737FEB"/>
    <w:rsid w:val="00752FDF"/>
    <w:rsid w:val="00754C7F"/>
    <w:rsid w:val="00763B12"/>
    <w:rsid w:val="00764D5E"/>
    <w:rsid w:val="00784416"/>
    <w:rsid w:val="00792ECC"/>
    <w:rsid w:val="007B60F3"/>
    <w:rsid w:val="007D0A32"/>
    <w:rsid w:val="007D5672"/>
    <w:rsid w:val="007D6F5F"/>
    <w:rsid w:val="00832748"/>
    <w:rsid w:val="00862DD5"/>
    <w:rsid w:val="00877F37"/>
    <w:rsid w:val="00882DA7"/>
    <w:rsid w:val="00883D53"/>
    <w:rsid w:val="00885514"/>
    <w:rsid w:val="008924AF"/>
    <w:rsid w:val="008B0141"/>
    <w:rsid w:val="008C2007"/>
    <w:rsid w:val="008D480C"/>
    <w:rsid w:val="008D526A"/>
    <w:rsid w:val="008E6A8C"/>
    <w:rsid w:val="008E6F71"/>
    <w:rsid w:val="009030CD"/>
    <w:rsid w:val="009046FB"/>
    <w:rsid w:val="00911FB4"/>
    <w:rsid w:val="00913DBB"/>
    <w:rsid w:val="00921BCC"/>
    <w:rsid w:val="00944E32"/>
    <w:rsid w:val="009B1395"/>
    <w:rsid w:val="009E0E2C"/>
    <w:rsid w:val="00A175B0"/>
    <w:rsid w:val="00A2053E"/>
    <w:rsid w:val="00AC071A"/>
    <w:rsid w:val="00AD376B"/>
    <w:rsid w:val="00AF1D11"/>
    <w:rsid w:val="00B26B4C"/>
    <w:rsid w:val="00B32C36"/>
    <w:rsid w:val="00B35C28"/>
    <w:rsid w:val="00B35FCC"/>
    <w:rsid w:val="00B67487"/>
    <w:rsid w:val="00B7286F"/>
    <w:rsid w:val="00B8404C"/>
    <w:rsid w:val="00BA31BB"/>
    <w:rsid w:val="00BA34E1"/>
    <w:rsid w:val="00BA7789"/>
    <w:rsid w:val="00BD67C4"/>
    <w:rsid w:val="00C12538"/>
    <w:rsid w:val="00C12B44"/>
    <w:rsid w:val="00C13E56"/>
    <w:rsid w:val="00C50467"/>
    <w:rsid w:val="00C62956"/>
    <w:rsid w:val="00C73F1E"/>
    <w:rsid w:val="00CB0E1F"/>
    <w:rsid w:val="00CD441B"/>
    <w:rsid w:val="00D0477E"/>
    <w:rsid w:val="00D0762D"/>
    <w:rsid w:val="00D314F7"/>
    <w:rsid w:val="00D34484"/>
    <w:rsid w:val="00D572C0"/>
    <w:rsid w:val="00D61F29"/>
    <w:rsid w:val="00D9092A"/>
    <w:rsid w:val="00DD38E1"/>
    <w:rsid w:val="00DF4A96"/>
    <w:rsid w:val="00E02F61"/>
    <w:rsid w:val="00E22484"/>
    <w:rsid w:val="00E24A3E"/>
    <w:rsid w:val="00E24B90"/>
    <w:rsid w:val="00E26D63"/>
    <w:rsid w:val="00E5772F"/>
    <w:rsid w:val="00E60499"/>
    <w:rsid w:val="00F438AF"/>
    <w:rsid w:val="00F5041F"/>
    <w:rsid w:val="00F65CF6"/>
    <w:rsid w:val="00F86BF8"/>
    <w:rsid w:val="00F976D1"/>
    <w:rsid w:val="00FB2488"/>
    <w:rsid w:val="00FC19AE"/>
    <w:rsid w:val="00FC50D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4885F33"/>
  <w15:chartTrackingRefBased/>
  <w15:docId w15:val="{8C545D9E-93C7-44CE-8364-B611E6D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0C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8D48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8D48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178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7894"/>
    <w:rPr>
      <w:sz w:val="24"/>
      <w:szCs w:val="24"/>
    </w:rPr>
  </w:style>
  <w:style w:type="paragraph" w:styleId="Pieddepage">
    <w:name w:val="footer"/>
    <w:basedOn w:val="Normal"/>
    <w:link w:val="PieddepageCar"/>
    <w:rsid w:val="00217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17894"/>
    <w:rPr>
      <w:sz w:val="24"/>
      <w:szCs w:val="24"/>
    </w:rPr>
  </w:style>
  <w:style w:type="table" w:styleId="Grilledutableau">
    <w:name w:val="Table Grid"/>
    <w:basedOn w:val="TableauNormal"/>
    <w:rsid w:val="0045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890C-2342-4FA1-BBE6-B39887A0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de Repréparation à l’Examen</vt:lpstr>
    </vt:vector>
  </TitlesOfParts>
  <Company>Conseil Régional de Bourgogne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 Repréparation à l’Examen</dc:title>
  <dc:subject/>
  <dc:creator>asmlds</dc:creator>
  <cp:keywords/>
  <dc:description/>
  <cp:lastModifiedBy>Romain CHARLES</cp:lastModifiedBy>
  <cp:revision>3</cp:revision>
  <cp:lastPrinted>2018-03-20T15:14:00Z</cp:lastPrinted>
  <dcterms:created xsi:type="dcterms:W3CDTF">2019-02-01T10:41:00Z</dcterms:created>
  <dcterms:modified xsi:type="dcterms:W3CDTF">2019-02-06T12:59:00Z</dcterms:modified>
</cp:coreProperties>
</file>